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75" w:rsidRPr="00F63738" w:rsidRDefault="00B54275" w:rsidP="00F63738">
      <w:pPr>
        <w:spacing w:line="240" w:lineRule="auto"/>
        <w:rPr>
          <w:sz w:val="20"/>
          <w:szCs w:val="20"/>
        </w:rPr>
      </w:pPr>
      <w:r w:rsidRPr="00F63738">
        <w:rPr>
          <w:noProof/>
          <w:sz w:val="20"/>
          <w:szCs w:val="20"/>
          <w:lang w:eastAsia="ru-RU"/>
        </w:rPr>
        <w:drawing>
          <wp:inline distT="0" distB="0" distL="0" distR="0">
            <wp:extent cx="5940425" cy="8954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75" w:rsidRPr="00F63738" w:rsidRDefault="00B54275" w:rsidP="00F6373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3738">
        <w:rPr>
          <w:rFonts w:ascii="Times New Roman" w:hAnsi="Times New Roman" w:cs="Times New Roman"/>
          <w:b/>
          <w:bCs/>
          <w:color w:val="17365D"/>
          <w:sz w:val="20"/>
          <w:szCs w:val="20"/>
          <w:lang w:val="en-US"/>
        </w:rPr>
        <w:t>INTERNATIONAL INNOVATIVE CENTER</w:t>
      </w:r>
    </w:p>
    <w:p w:rsidR="00B54275" w:rsidRPr="00F63738" w:rsidRDefault="00B54275" w:rsidP="00F63738">
      <w:pPr>
        <w:spacing w:line="240" w:lineRule="auto"/>
        <w:jc w:val="center"/>
        <w:rPr>
          <w:rFonts w:ascii="Times New Roman" w:eastAsia="Calibri" w:hAnsi="Times New Roman" w:cs="Times New Roman"/>
          <w:b/>
          <w:color w:val="17365D"/>
          <w:sz w:val="20"/>
          <w:szCs w:val="20"/>
        </w:rPr>
      </w:pPr>
      <w:r w:rsidRPr="00F63738">
        <w:rPr>
          <w:rFonts w:ascii="Times New Roman" w:eastAsia="Calibri" w:hAnsi="Times New Roman" w:cs="Times New Roman"/>
          <w:b/>
          <w:color w:val="17365D"/>
          <w:sz w:val="20"/>
          <w:szCs w:val="20"/>
        </w:rPr>
        <w:t xml:space="preserve"> «</w:t>
      </w:r>
      <w:r w:rsidRPr="00F63738">
        <w:rPr>
          <w:rFonts w:ascii="Times New Roman" w:eastAsia="Calibri" w:hAnsi="Times New Roman" w:cs="Times New Roman"/>
          <w:b/>
          <w:color w:val="17365D"/>
          <w:sz w:val="20"/>
          <w:szCs w:val="20"/>
          <w:lang w:val="en-US"/>
        </w:rPr>
        <w:t>PERSPEKTIVAPLUS</w:t>
      </w:r>
      <w:r w:rsidRPr="00F63738">
        <w:rPr>
          <w:rFonts w:ascii="Times New Roman" w:eastAsia="Calibri" w:hAnsi="Times New Roman" w:cs="Times New Roman"/>
          <w:b/>
          <w:color w:val="17365D"/>
          <w:sz w:val="20"/>
          <w:szCs w:val="20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5"/>
        <w:gridCol w:w="3506"/>
      </w:tblGrid>
      <w:tr w:rsidR="00B54275" w:rsidRPr="00F63738" w:rsidTr="00B54275">
        <w:tc>
          <w:tcPr>
            <w:tcW w:w="6065" w:type="dxa"/>
            <w:shd w:val="clear" w:color="auto" w:fill="auto"/>
          </w:tcPr>
          <w:p w:rsidR="00B54275" w:rsidRPr="00F63738" w:rsidRDefault="00F63738" w:rsidP="00F6373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3738">
              <w:rPr>
                <w:rFonts w:ascii="Calibri" w:eastAsia="Calibri" w:hAnsi="Calibri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85.5pt">
                  <v:imagedata r:id="rId7" o:title=""/>
                </v:shape>
              </w:pict>
            </w:r>
          </w:p>
        </w:tc>
        <w:tc>
          <w:tcPr>
            <w:tcW w:w="3506" w:type="dxa"/>
            <w:shd w:val="clear" w:color="auto" w:fill="auto"/>
          </w:tcPr>
          <w:p w:rsidR="00B54275" w:rsidRPr="00F63738" w:rsidRDefault="00B54275" w:rsidP="00F63738">
            <w:pPr>
              <w:spacing w:after="0" w:line="240" w:lineRule="auto"/>
              <w:rPr>
                <w:rFonts w:ascii="Helvetica" w:eastAsia="Calibri" w:hAnsi="Helvetica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F63738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Site</w:t>
            </w:r>
            <w:r w:rsidRPr="00F63738"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  <w:hyperlink r:id="rId8" w:history="1"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proofErr w:type="spellStart"/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perspektiva</w:t>
              </w:r>
              <w:proofErr w:type="spellEnd"/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plus</w:t>
              </w:r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pro</w:t>
              </w:r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</w:p>
          <w:p w:rsidR="00B54275" w:rsidRPr="00F63738" w:rsidRDefault="00B54275" w:rsidP="00F63738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B54275" w:rsidRPr="00F63738" w:rsidRDefault="00B54275" w:rsidP="00F6373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63738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 xml:space="preserve">E-mail: </w:t>
            </w:r>
            <w:r w:rsidRPr="00F63738"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lang w:val="en-US"/>
              </w:rPr>
              <w:t>vesnaa777@gmail.com</w:t>
            </w:r>
          </w:p>
          <w:p w:rsidR="00B54275" w:rsidRPr="00F63738" w:rsidRDefault="00B54275" w:rsidP="00F6373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B54275" w:rsidRPr="00F63738" w:rsidRDefault="00B54275" w:rsidP="00F63738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63738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Masarykovatřída</w:t>
            </w:r>
            <w:proofErr w:type="spellEnd"/>
            <w:r w:rsidRPr="00F63738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 xml:space="preserve"> 668/29, Teplice, Czech Republic</w:t>
            </w:r>
          </w:p>
        </w:tc>
      </w:tr>
    </w:tbl>
    <w:p w:rsidR="00B04373" w:rsidRPr="00F63738" w:rsidRDefault="002C67C3" w:rsidP="00F637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We kindly </w:t>
      </w:r>
      <w:r w:rsidR="00134D46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invite</w:t>
      </w: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scientists, teachers, postgraduates, students, practitioners, </w:t>
      </w:r>
      <w:proofErr w:type="spellStart"/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kindergarden</w:t>
      </w:r>
      <w:proofErr w:type="spellEnd"/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and orphan teachers </w:t>
      </w:r>
      <w:r w:rsidR="00B04373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to take part in </w:t>
      </w:r>
      <w:r w:rsidR="00E21C35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our 3-d I</w:t>
      </w:r>
      <w:r w:rsidR="00B04373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nternational </w:t>
      </w:r>
      <w:r w:rsidR="00E21C35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S</w:t>
      </w:r>
      <w:r w:rsidR="00B04373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cientific </w:t>
      </w:r>
      <w:r w:rsidR="00E21C35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Practical C</w:t>
      </w:r>
      <w:r w:rsidR="00B04373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onference.</w:t>
      </w:r>
    </w:p>
    <w:p w:rsidR="00B04373" w:rsidRPr="00F63738" w:rsidRDefault="00B04373" w:rsidP="00F637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The title of the </w:t>
      </w:r>
      <w:r w:rsidR="00E21C35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C</w:t>
      </w: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onference is “Education and science problems in modern society”</w:t>
      </w:r>
    </w:p>
    <w:p w:rsidR="00566AF7" w:rsidRPr="00F63738" w:rsidRDefault="00B04373" w:rsidP="00F637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The objective</w:t>
      </w:r>
      <w:r w:rsidR="00566AF7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of the</w:t>
      </w: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</w:t>
      </w:r>
      <w:r w:rsidR="00E21C35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C</w:t>
      </w: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onference is to discuss educational problems</w:t>
      </w:r>
      <w:r w:rsidR="00285F2D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in today’s world and positive experience in reforming educational systems in different countries.</w:t>
      </w:r>
    </w:p>
    <w:p w:rsidR="00B54275" w:rsidRPr="00F63738" w:rsidRDefault="00566AF7" w:rsidP="00F637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ar-SA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Languages of the </w:t>
      </w:r>
      <w:r w:rsidR="00E21C35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C</w:t>
      </w: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onference: Russian, English, Czech, German, French, Kazakh, Mongolian, Belarusian, Ukrainian, Tatar, etc.</w:t>
      </w:r>
      <w:r w:rsidR="00B04373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 </w:t>
      </w:r>
    </w:p>
    <w:p w:rsidR="00566AF7" w:rsidRPr="00F63738" w:rsidRDefault="00566AF7" w:rsidP="00F637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T</w:t>
      </w:r>
      <w:proofErr w:type="spellStart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he</w:t>
      </w:r>
      <w:proofErr w:type="spellEnd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E86024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C</w:t>
      </w:r>
      <w:proofErr w:type="spellStart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onference</w:t>
      </w:r>
      <w:proofErr w:type="spellEnd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E86024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O</w:t>
      </w:r>
      <w:proofErr w:type="spellStart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rganizing</w:t>
      </w:r>
      <w:proofErr w:type="spellEnd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E86024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C</w:t>
      </w:r>
      <w:proofErr w:type="spellStart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ommittee</w:t>
      </w:r>
      <w:proofErr w:type="spellEnd"/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:</w:t>
      </w:r>
    </w:p>
    <w:p w:rsidR="00AC4AAF" w:rsidRPr="00F63738" w:rsidRDefault="00566AF7" w:rsidP="00F6373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Dugar</w:t>
      </w:r>
      <w:r w:rsidR="000E217C"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zh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av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Luvsantseren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</w:t>
      </w:r>
      <w:r w:rsidR="00AC4AAF"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Doctor of History, Professor, First Deputy Director of Ulaanbaatar branch “</w:t>
      </w:r>
      <w:r w:rsidR="00FF70C8"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Plekhanov </w:t>
      </w:r>
      <w:proofErr w:type="gramStart"/>
      <w:r w:rsidR="00AC4AAF"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REU ”</w:t>
      </w:r>
      <w:proofErr w:type="gramEnd"/>
      <w:r w:rsidR="00AC4AAF"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</w:p>
    <w:p w:rsidR="00B54275" w:rsidRPr="00F63738" w:rsidRDefault="00AC4AAF" w:rsidP="00F6373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Tarasov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Sergei </w:t>
      </w: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Anatolievich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Founder and Head of </w:t>
      </w:r>
      <w:r w:rsidR="00FF70C8"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the</w:t>
      </w:r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Open European </w:t>
      </w:r>
      <w:r w:rsidR="00FF70C8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cademy of </w:t>
      </w:r>
      <w:r w:rsidR="00FF70C8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conomics and </w:t>
      </w:r>
      <w:r w:rsidR="00FF70C8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olitics </w:t>
      </w:r>
      <w:r w:rsidR="00FF70C8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in 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Prague, Doctor of Philosophy,  Specialist in </w:t>
      </w:r>
      <w:r w:rsidR="00FF70C8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nternational </w:t>
      </w:r>
      <w:r w:rsidR="00FF70C8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elationships, </w:t>
      </w:r>
      <w:r w:rsidR="00FF70C8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Personal Management and Economics, Project Manager of the European Association of University Teachers in Hamburg.</w:t>
      </w:r>
    </w:p>
    <w:p w:rsidR="00FF70C8" w:rsidRPr="00F63738" w:rsidRDefault="00FF70C8" w:rsidP="00F6373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Maksimova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Olga </w:t>
      </w: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Purbaevna</w:t>
      </w:r>
      <w:proofErr w:type="spellEnd"/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Head of the Russian center 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Ulaanbaatar branch “Plekhanov </w:t>
      </w:r>
      <w:proofErr w:type="gram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REU ”</w:t>
      </w:r>
      <w:proofErr w:type="gramEnd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</w:p>
    <w:p w:rsidR="00B54275" w:rsidRPr="00F63738" w:rsidRDefault="00FF70C8" w:rsidP="00F6373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Yurchuk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Svetlana </w:t>
      </w: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Nikolaevna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</w:t>
      </w:r>
      <w:proofErr w:type="spellStart"/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Ph.d</w:t>
      </w:r>
      <w:proofErr w:type="spellEnd"/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Director General of the International center </w:t>
      </w:r>
      <w:r w:rsidR="005C76F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</w:t>
      </w:r>
      <w:proofErr w:type="spellStart"/>
      <w:r w:rsidR="005C76F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Perspektivaplus</w:t>
      </w:r>
      <w:proofErr w:type="spellEnd"/>
      <w:r w:rsidR="005C76F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</w:t>
      </w:r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E86024"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Professor of t</w:t>
      </w:r>
      <w:r w:rsidR="00E86024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 Russian Academy of Natural History</w:t>
      </w:r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E86024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psychologist</w:t>
      </w:r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E86024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writer-publicist</w:t>
      </w:r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B54275" w:rsidRPr="00F63738" w:rsidRDefault="00E86024" w:rsidP="00F6373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Mamunova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Tatiana </w:t>
      </w: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Matveevna</w:t>
      </w:r>
      <w:proofErr w:type="spellEnd"/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Candidate of </w:t>
      </w:r>
      <w:r w:rsidR="000E217C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edagogy </w:t>
      </w:r>
      <w:r w:rsidR="000E217C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ciences, Docent</w:t>
      </w:r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B54275" w:rsidRPr="00F63738" w:rsidRDefault="00E86024" w:rsidP="00F63738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Email address of the </w:t>
      </w: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Conference Organizing Comm</w:t>
      </w:r>
      <w:r w:rsidR="00E21C35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ittee</w:t>
      </w:r>
      <w:r w:rsidR="00B54275"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 vesnaa777@gmail.com</w:t>
      </w:r>
    </w:p>
    <w:p w:rsidR="00B54275" w:rsidRPr="00F63738" w:rsidRDefault="00B54275" w:rsidP="00F63738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E21C35" w:rsidRPr="00F63738" w:rsidRDefault="00E21C35" w:rsidP="00F63738">
      <w:pPr>
        <w:suppressAutoHyphens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Modalities of participation</w:t>
      </w:r>
    </w:p>
    <w:p w:rsidR="00B54275" w:rsidRPr="00F63738" w:rsidRDefault="00BE33AE" w:rsidP="00F63738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The conference </w:t>
      </w:r>
      <w:proofErr w:type="gram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is held</w:t>
      </w:r>
      <w:proofErr w:type="gramEnd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in absentia</w:t>
      </w:r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. 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The articles </w:t>
      </w:r>
      <w:proofErr w:type="gram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can be published</w:t>
      </w:r>
      <w:proofErr w:type="gramEnd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in the international collection “Culture, education, literature”</w:t>
      </w:r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(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Czech Republic</w:t>
      </w:r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Canada</w:t>
      </w:r>
      <w:r w:rsidR="00B54275" w:rsidRPr="00F6373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). </w:t>
      </w:r>
    </w:p>
    <w:p w:rsidR="00B54275" w:rsidRPr="00F63738" w:rsidRDefault="00BE33AE" w:rsidP="00F6373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Key topics of the Conference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1. </w:t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Developing of modern global educational space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2. </w:t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Philosophy of modern education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3. </w:t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General Pedagogy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4. </w:t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Modern technologies in education and upbringing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5. </w:t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Modern information technologies in education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6. </w:t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Special education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7. </w:t>
      </w:r>
      <w:r w:rsidR="00C453DF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Theory and methodology in education and upbringing.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8. </w:t>
      </w:r>
      <w:r w:rsidR="005259FD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Competence approach in education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9. </w:t>
      </w:r>
      <w:r w:rsidR="005259FD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Modern technologies in foreign language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10. </w:t>
      </w:r>
      <w:r w:rsidR="005259FD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Theory and methods in physical education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11. </w:t>
      </w:r>
      <w:r w:rsidR="005259FD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Modern educational technologies in pre-school educational institutions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 1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2. </w:t>
      </w:r>
      <w:r w:rsidR="005259FD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Modern educational technologies in primary school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13. </w:t>
      </w:r>
      <w:r w:rsidR="005259FD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Modern educational technologies in secondary school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14.</w:t>
      </w:r>
      <w:r w:rsidR="005259FD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5259FD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Regional educational technologies in modern school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15.</w:t>
      </w:r>
      <w:r w:rsidR="00274752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Modern educational technologies in vocational training system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16. </w:t>
      </w:r>
      <w:r w:rsidR="00274752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Modern educational technologies in university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17. </w:t>
      </w:r>
      <w:r w:rsidR="00274752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Modern educational technologies in </w:t>
      </w:r>
      <w:r w:rsidR="00553DB2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supplementary education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18. </w:t>
      </w:r>
      <w:r w:rsidR="00553DB2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The teacher’s role in modern society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lastRenderedPageBreak/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19. </w:t>
      </w:r>
      <w:r w:rsidR="00553DB2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Higher education system management in conditions of modernization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 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D54C33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SECTION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20. </w:t>
      </w:r>
      <w:r w:rsidR="00553DB2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Process of integration in educational environment</w:t>
      </w:r>
      <w:r w:rsidR="00B54275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93187A" w:rsidRPr="00F63738" w:rsidRDefault="00553DB2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Requirements </w:t>
      </w:r>
      <w:r w:rsidR="0093187A"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to articles</w:t>
      </w: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</w:p>
    <w:p w:rsidR="00B54275" w:rsidRPr="00F63738" w:rsidRDefault="0093187A" w:rsidP="00F6373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Text format: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WordforWindows</w:t>
      </w:r>
      <w:proofErr w:type="spellEnd"/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, page format A4 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(210x297mm). Fields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2</w:t>
      </w:r>
      <w:proofErr w:type="gram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,5</w:t>
      </w:r>
      <w:proofErr w:type="gram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sm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for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all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sides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54275"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ОФОРМЛЕНИЮ МАТЕРИАЛОВ</w:t>
      </w:r>
    </w:p>
    <w:p w:rsidR="00B54275" w:rsidRPr="00F63738" w:rsidRDefault="0093187A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Text format: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WordforWindows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Page format: A4 (210x297 mm). Fields: 2.5 cm - from all sides. Font: size (size) - 14; type -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TimesNewRoman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The name is printed in capital </w:t>
      </w:r>
      <w:proofErr w:type="gram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letters,</w:t>
      </w:r>
      <w:proofErr w:type="gram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the font is bold, centered. Below through a double interval in small letters - initials and surname of the author (s). On the next line - the full name of the organization, the city. After indenting in 2 intervals, an abstract is followed, the keywords followed by text after 2 intervals, printed through a single interval</w:t>
      </w:r>
      <w:proofErr w:type="gram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 indentation</w:t>
      </w:r>
      <w:proofErr w:type="gram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- 1.25 cm, alignment in width. The name and numbers of the figures </w:t>
      </w:r>
      <w:proofErr w:type="gram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are indicated</w:t>
      </w:r>
      <w:proofErr w:type="gram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under the figures, the names and numbers of the tables are above the tables. Tables, diagrams, drawings, formulas (only in Equation or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MathType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editors), graphics should not go beyond the specified fields (font in tables and in figures - at least 11 points). References to the literature </w:t>
      </w:r>
      <w:r w:rsidR="000E217C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should be 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in square brackets. Availability of the list of literature is required.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Do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not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put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the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E217C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hyphenation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217C" w:rsidRPr="00F63738" w:rsidRDefault="000E217C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</w:pPr>
      <w:r w:rsidRPr="00F63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  <w:t xml:space="preserve">The maximum number of pages is 10. You pay only the collection: electronic or hard </w:t>
      </w:r>
      <w:proofErr w:type="gramStart"/>
      <w:r w:rsidRPr="00F63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  <w:t>copy  !!!</w:t>
      </w:r>
      <w:proofErr w:type="gramEnd"/>
    </w:p>
    <w:p w:rsidR="000E217C" w:rsidRPr="00F63738" w:rsidRDefault="000E217C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</w:pPr>
      <w:r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>In the electronic version, each of the articles should be in a separate file. In the file name, enter the cipher (</w:t>
      </w:r>
      <w:r w:rsidR="007F5347"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>S</w:t>
      </w:r>
      <w:r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 xml:space="preserve">T-11), the section number and the first author's name (for example, </w:t>
      </w:r>
      <w:r w:rsidR="007F5347"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>S</w:t>
      </w:r>
      <w:r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 xml:space="preserve">T-11 Section 9 </w:t>
      </w:r>
      <w:proofErr w:type="spellStart"/>
      <w:r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>Petrov</w:t>
      </w:r>
      <w:proofErr w:type="spellEnd"/>
      <w:r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>).</w:t>
      </w:r>
    </w:p>
    <w:p w:rsidR="007F5347" w:rsidRPr="00F63738" w:rsidRDefault="000E217C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</w:pPr>
      <w:r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 xml:space="preserve">Information about authors is to </w:t>
      </w:r>
      <w:proofErr w:type="gramStart"/>
      <w:r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>be issued</w:t>
      </w:r>
      <w:proofErr w:type="gramEnd"/>
      <w:r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 xml:space="preserve"> in tabular form. In the file name with information about the author, specify the conference code and the name of the first author (for example, </w:t>
      </w:r>
      <w:r w:rsidR="007F5347"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>S</w:t>
      </w:r>
      <w:r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 xml:space="preserve">T-11 </w:t>
      </w:r>
      <w:proofErr w:type="spellStart"/>
      <w:r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>Petrov</w:t>
      </w:r>
      <w:proofErr w:type="spellEnd"/>
      <w:r w:rsidRPr="00F6373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>).</w:t>
      </w:r>
    </w:p>
    <w:p w:rsidR="00B54275" w:rsidRPr="00F63738" w:rsidRDefault="007F5347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INFORMATION ABOUT AUTHOR</w:t>
      </w:r>
    </w:p>
    <w:tbl>
      <w:tblPr>
        <w:tblW w:w="9635" w:type="dxa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0"/>
        <w:gridCol w:w="2295"/>
      </w:tblGrid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Author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’s</w:t>
            </w: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FULL NAME.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Place of work / study (university, secondary vocational or other organization)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Position, department without abbreviations, academic degree, academic title (if any)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Home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r w:rsidR="00B54275"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Contact phone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Article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Conference reference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8540FF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B54275"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Т-11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Section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 of pages in the author's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certificate of conference participant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 / no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electronic copy of the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 / no</w:t>
            </w: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hard copy of the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 / no</w:t>
            </w: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Needed number of copies of the collection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address to which the collection and / or certificate is to be send (indicating the index and the name of the recipient)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Amount and date of payment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F5347" w:rsidRPr="00F63738" w:rsidTr="0085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7F5347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source from which you have learned about the conference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75" w:rsidRPr="00F63738" w:rsidRDefault="00B54275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540FF" w:rsidRPr="00F63738" w:rsidRDefault="008540FF" w:rsidP="00F63738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Materials, information about authors and scanned receipts of payment (in different files) </w:t>
      </w:r>
      <w:proofErr w:type="gram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must be sent</w:t>
      </w:r>
      <w:proofErr w:type="gram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in one letter to </w:t>
      </w:r>
      <w:hyperlink r:id="rId9" w:history="1">
        <w:r w:rsidRPr="00F63738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vesnaa777@gmail.com</w:t>
        </w:r>
      </w:hyperlink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before </w:t>
      </w:r>
      <w:r w:rsidR="009D0EA1"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November 10, 2018. 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The contact person is Svetlana N.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Yurchuk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8540FF" w:rsidRPr="00F63738" w:rsidRDefault="008540FF" w:rsidP="00F63738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When receiving materials, the organizing committee confirms receipt and acceptance of materials for publication within two days. Authors who sent the materials by e-mail and who did not receive confirmation of their receipt 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lastRenderedPageBreak/>
        <w:t xml:space="preserve">by the organizing committee, please, duplicate the application. At the end of the </w:t>
      </w:r>
      <w:proofErr w:type="gram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conference</w:t>
      </w:r>
      <w:proofErr w:type="gram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participants receive certificates of participation and certificates of publication! </w:t>
      </w:r>
    </w:p>
    <w:p w:rsidR="008540FF" w:rsidRPr="00F63738" w:rsidRDefault="008540FF" w:rsidP="00F63738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8540FF" w:rsidRPr="00F63738" w:rsidRDefault="008540FF" w:rsidP="00F63738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54275" w:rsidRPr="00F63738" w:rsidRDefault="008540FF" w:rsidP="00F6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Appendix</w:t>
      </w:r>
      <w:r w:rsidR="00B54275" w:rsidRPr="00F6373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 xml:space="preserve"> 1</w:t>
      </w:r>
    </w:p>
    <w:p w:rsidR="00B54275" w:rsidRPr="00F63738" w:rsidRDefault="00B54275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F85746" w:rsidRPr="00F63738" w:rsidRDefault="008540FF" w:rsidP="00F63738">
      <w:pPr>
        <w:spacing w:line="240" w:lineRule="auto"/>
        <w:ind w:left="260" w:right="700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Since the International Innovation Center is located in the Czech Republic, we suggest </w:t>
      </w:r>
      <w:r w:rsidR="007D3564"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you </w:t>
      </w:r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to pay through </w:t>
      </w:r>
      <w:proofErr w:type="spellStart"/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Yandex</w:t>
      </w:r>
      <w:proofErr w:type="spellEnd"/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Money, </w:t>
      </w:r>
      <w:proofErr w:type="spellStart"/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VisaQiwiWallet</w:t>
      </w:r>
      <w:proofErr w:type="spellEnd"/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.</w:t>
      </w: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F6373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346075</wp:posOffset>
            </wp:positionV>
            <wp:extent cx="4787900" cy="1009015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F85746" w:rsidRPr="00F63738" w:rsidTr="003F6332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746" w:rsidRPr="00F63738" w:rsidRDefault="008540FF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746" w:rsidRPr="00F63738" w:rsidRDefault="008540FF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Accounts numbers</w:t>
            </w:r>
          </w:p>
        </w:tc>
      </w:tr>
      <w:tr w:rsidR="00F85746" w:rsidRPr="00F63738" w:rsidTr="003F6332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746" w:rsidRPr="00F63738" w:rsidRDefault="008540FF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Money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746" w:rsidRPr="00F63738" w:rsidRDefault="00F8574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410014676251568</w:t>
            </w:r>
          </w:p>
        </w:tc>
      </w:tr>
      <w:tr w:rsidR="00F85746" w:rsidRPr="00F63738" w:rsidTr="003F6332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746" w:rsidRPr="00F63738" w:rsidRDefault="008540FF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Money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746" w:rsidRPr="00F63738" w:rsidRDefault="00F8574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410015857412468</w:t>
            </w:r>
          </w:p>
        </w:tc>
      </w:tr>
      <w:tr w:rsidR="00F85746" w:rsidRPr="00F63738" w:rsidTr="003F6332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746" w:rsidRPr="00F63738" w:rsidRDefault="00F8574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Visa </w:t>
            </w: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Qiwi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746" w:rsidRPr="00F63738" w:rsidRDefault="00F8574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+796</w:t>
            </w: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17956392</w:t>
            </w:r>
          </w:p>
        </w:tc>
      </w:tr>
      <w:tr w:rsidR="00F85746" w:rsidRPr="00F63738" w:rsidTr="003F633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746" w:rsidRPr="00F63738" w:rsidRDefault="008540FF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n-US"/>
              </w:rPr>
              <w:t>Sberbank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n-US"/>
              </w:rPr>
              <w:t xml:space="preserve"> card</w:t>
            </w:r>
            <w:r w:rsidR="00F85746"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 (</w:t>
            </w:r>
            <w:proofErr w:type="spellStart"/>
            <w:r w:rsidR="00F85746"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n-US"/>
              </w:rPr>
              <w:t>Viza</w:t>
            </w:r>
            <w:proofErr w:type="spellEnd"/>
            <w:r w:rsidR="00F85746"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746" w:rsidRPr="00F63738" w:rsidRDefault="00F8574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4276 3801 7255 7055</w:t>
            </w:r>
          </w:p>
        </w:tc>
      </w:tr>
      <w:tr w:rsidR="00F85746" w:rsidRPr="00F63738" w:rsidTr="003F633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746" w:rsidRPr="00F63738" w:rsidRDefault="008540FF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n-US"/>
              </w:rPr>
            </w:pP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Money</w:t>
            </w:r>
            <w:r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 </w:t>
            </w:r>
            <w:r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n-US"/>
              </w:rPr>
              <w:t>card</w:t>
            </w:r>
            <w:r w:rsidR="00F85746"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 </w:t>
            </w:r>
            <w:r w:rsidR="00F85746"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746" w:rsidRPr="00F63738" w:rsidRDefault="00F8574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5106 2180 3190 4857</w:t>
            </w:r>
          </w:p>
        </w:tc>
      </w:tr>
    </w:tbl>
    <w:p w:rsidR="00F85746" w:rsidRPr="00F63738" w:rsidRDefault="00F8574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40FF" w:rsidRPr="00F63738" w:rsidRDefault="008540FF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The participants from the CIS countries, except Ukraine, can </w:t>
      </w:r>
      <w:r w:rsidR="007D3564"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load</w:t>
      </w: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the </w:t>
      </w:r>
      <w:r w:rsidR="007D3564"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payment</w:t>
      </w: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on the </w:t>
      </w:r>
      <w:proofErr w:type="spellStart"/>
      <w:r w:rsidR="007D3564" w:rsidRPr="00F6373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Qiwi</w:t>
      </w:r>
      <w:proofErr w:type="spellEnd"/>
      <w:r w:rsidR="007D3564" w:rsidRPr="00F6373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Wallet</w:t>
      </w:r>
      <w:r w:rsidR="007D3564"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on</w:t>
      </w: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phone </w:t>
      </w:r>
      <w:r w:rsidR="007D3564"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number </w:t>
      </w: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+79617956392 interest</w:t>
      </w:r>
      <w:r w:rsidR="007D3564"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-free</w:t>
      </w: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 Participants from Ukraine can trans</w:t>
      </w:r>
      <w:r w:rsidR="007D3564"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fer the payment through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WesternUnion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PrivatBank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B54275" w:rsidRPr="00F63738" w:rsidRDefault="00B54275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7D3564" w:rsidRPr="00F63738" w:rsidRDefault="007D3564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Requisites for bank transfer</w:t>
      </w:r>
    </w:p>
    <w:p w:rsidR="007D3564" w:rsidRPr="00F63738" w:rsidRDefault="007D3564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7D3564" w:rsidRPr="00F63738" w:rsidRDefault="007D3564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For payments from abroad:</w:t>
      </w:r>
    </w:p>
    <w:p w:rsidR="007D3564" w:rsidRPr="00F63738" w:rsidRDefault="007D3564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IBAN: CZ6827000000001002100915</w:t>
      </w:r>
    </w:p>
    <w:p w:rsidR="007D3564" w:rsidRPr="00F63738" w:rsidRDefault="007D3564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SWIFT: BACX CZ PP</w:t>
      </w:r>
    </w:p>
    <w:p w:rsidR="007D3564" w:rsidRPr="00F63738" w:rsidRDefault="007D3564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Name of the bank: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UniCredit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Bank Czech Republic and Slovakia,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a.s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7D3564" w:rsidRPr="00F63738" w:rsidRDefault="007D3564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Legal address: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Želetavská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1525/1,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Praha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4, 140 92, Czech Republic.</w:t>
      </w:r>
    </w:p>
    <w:p w:rsidR="007D3564" w:rsidRPr="00F63738" w:rsidRDefault="007D3564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Account owner: Broker's First Company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s.r.o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7D3564" w:rsidRPr="00F63738" w:rsidRDefault="007D3564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The legal owner of the account: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Praha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3, V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Zahradkach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2854/9, 13000, Czech Republic.</w:t>
      </w:r>
    </w:p>
    <w:p w:rsidR="007D3564" w:rsidRPr="00F63738" w:rsidRDefault="007D3564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Comment on payment: Your name, first name, date of birth</w:t>
      </w:r>
    </w:p>
    <w:p w:rsidR="00B54275" w:rsidRPr="00F63738" w:rsidRDefault="007D3564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Currency of account: Czech Koruna (CZK)</w:t>
      </w:r>
    </w:p>
    <w:p w:rsidR="00B54275" w:rsidRPr="00F63738" w:rsidRDefault="00B54275" w:rsidP="00F637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4275" w:rsidRPr="00F63738" w:rsidRDefault="001E6004" w:rsidP="00F63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7365D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b/>
          <w:bCs/>
          <w:color w:val="17365D"/>
          <w:sz w:val="20"/>
          <w:szCs w:val="20"/>
          <w:lang w:val="en-US"/>
        </w:rPr>
        <w:t>Financial terms</w:t>
      </w:r>
    </w:p>
    <w:p w:rsidR="00B54275" w:rsidRPr="00F63738" w:rsidRDefault="00B54275" w:rsidP="00F6373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-BoldMT"/>
          <w:b/>
          <w:bCs/>
          <w:color w:val="17365D"/>
          <w:sz w:val="20"/>
          <w:szCs w:val="20"/>
          <w:lang w:val="en-US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214"/>
        <w:gridCol w:w="1042"/>
        <w:gridCol w:w="1041"/>
        <w:gridCol w:w="1239"/>
        <w:gridCol w:w="992"/>
        <w:gridCol w:w="850"/>
        <w:gridCol w:w="1083"/>
      </w:tblGrid>
      <w:tr w:rsidR="00990896" w:rsidRPr="00F63738" w:rsidTr="00990896">
        <w:tc>
          <w:tcPr>
            <w:tcW w:w="1701" w:type="dxa"/>
            <w:shd w:val="clear" w:color="auto" w:fill="auto"/>
          </w:tcPr>
          <w:p w:rsidR="00990896" w:rsidRPr="00F63738" w:rsidRDefault="001E6004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Participation format</w:t>
            </w:r>
          </w:p>
        </w:tc>
        <w:tc>
          <w:tcPr>
            <w:tcW w:w="8454" w:type="dxa"/>
            <w:gridSpan w:val="8"/>
            <w:shd w:val="clear" w:color="auto" w:fill="auto"/>
          </w:tcPr>
          <w:p w:rsidR="00990896" w:rsidRPr="00F63738" w:rsidRDefault="001E6004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Amount of the registration fee</w:t>
            </w:r>
          </w:p>
        </w:tc>
      </w:tr>
      <w:tr w:rsidR="001E6004" w:rsidRPr="00F63738" w:rsidTr="00990896">
        <w:tc>
          <w:tcPr>
            <w:tcW w:w="1701" w:type="dxa"/>
            <w:shd w:val="clear" w:color="auto" w:fill="auto"/>
          </w:tcPr>
          <w:p w:rsidR="001E6004" w:rsidRPr="00F63738" w:rsidRDefault="001E6004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1E6004" w:rsidRPr="00F63738" w:rsidRDefault="001E6004" w:rsidP="00F637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Russian rubles </w:t>
            </w:r>
          </w:p>
        </w:tc>
        <w:tc>
          <w:tcPr>
            <w:tcW w:w="1214" w:type="dxa"/>
            <w:shd w:val="clear" w:color="auto" w:fill="auto"/>
          </w:tcPr>
          <w:p w:rsidR="001E6004" w:rsidRPr="00F63738" w:rsidRDefault="001E6004" w:rsidP="00F637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Kazakh </w:t>
            </w:r>
            <w:proofErr w:type="spellStart"/>
            <w:r w:rsidRPr="00F637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tenge</w:t>
            </w:r>
            <w:proofErr w:type="spellEnd"/>
            <w:r w:rsidRPr="00F637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1E6004" w:rsidRPr="00F63738" w:rsidRDefault="001E6004" w:rsidP="00F637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Mongolian tugriks</w:t>
            </w:r>
          </w:p>
        </w:tc>
        <w:tc>
          <w:tcPr>
            <w:tcW w:w="1041" w:type="dxa"/>
            <w:shd w:val="clear" w:color="auto" w:fill="auto"/>
          </w:tcPr>
          <w:p w:rsidR="001E6004" w:rsidRPr="00F63738" w:rsidRDefault="001E6004" w:rsidP="00F637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Ukrainian hryvnia</w:t>
            </w:r>
          </w:p>
        </w:tc>
        <w:tc>
          <w:tcPr>
            <w:tcW w:w="1239" w:type="dxa"/>
            <w:shd w:val="clear" w:color="auto" w:fill="auto"/>
          </w:tcPr>
          <w:p w:rsidR="001E6004" w:rsidRPr="00F63738" w:rsidRDefault="001E6004" w:rsidP="00F637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Belarus rubles</w:t>
            </w:r>
          </w:p>
        </w:tc>
        <w:tc>
          <w:tcPr>
            <w:tcW w:w="992" w:type="dxa"/>
          </w:tcPr>
          <w:p w:rsidR="001E6004" w:rsidRPr="00F63738" w:rsidRDefault="001E6004" w:rsidP="00F637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Dollars </w:t>
            </w:r>
          </w:p>
        </w:tc>
        <w:tc>
          <w:tcPr>
            <w:tcW w:w="850" w:type="dxa"/>
          </w:tcPr>
          <w:p w:rsidR="001E6004" w:rsidRPr="00F63738" w:rsidRDefault="001E6004" w:rsidP="00F637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Euros</w:t>
            </w:r>
          </w:p>
        </w:tc>
        <w:tc>
          <w:tcPr>
            <w:tcW w:w="1083" w:type="dxa"/>
          </w:tcPr>
          <w:p w:rsidR="001E6004" w:rsidRPr="00F63738" w:rsidRDefault="001E6004" w:rsidP="00F637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Czech </w:t>
            </w:r>
            <w:proofErr w:type="spellStart"/>
            <w:r w:rsidRPr="00F637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koruny</w:t>
            </w:r>
            <w:proofErr w:type="spellEnd"/>
          </w:p>
        </w:tc>
      </w:tr>
      <w:tr w:rsidR="00990896" w:rsidRPr="00F63738" w:rsidTr="00990896">
        <w:tc>
          <w:tcPr>
            <w:tcW w:w="1701" w:type="dxa"/>
            <w:shd w:val="clear" w:color="auto" w:fill="auto"/>
          </w:tcPr>
          <w:p w:rsidR="00990896" w:rsidRPr="00F63738" w:rsidRDefault="001E6004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Participation in the conference</w:t>
            </w:r>
          </w:p>
        </w:tc>
        <w:tc>
          <w:tcPr>
            <w:tcW w:w="993" w:type="dxa"/>
            <w:shd w:val="clear" w:color="auto" w:fill="auto"/>
          </w:tcPr>
          <w:p w:rsidR="00990896" w:rsidRPr="00F63738" w:rsidRDefault="0099089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214" w:type="dxa"/>
            <w:shd w:val="clear" w:color="auto" w:fill="auto"/>
          </w:tcPr>
          <w:p w:rsidR="00990896" w:rsidRPr="00F63738" w:rsidRDefault="0099089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42" w:type="dxa"/>
            <w:shd w:val="clear" w:color="auto" w:fill="auto"/>
          </w:tcPr>
          <w:p w:rsidR="00990896" w:rsidRPr="00F63738" w:rsidRDefault="0099089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041" w:type="dxa"/>
            <w:shd w:val="clear" w:color="auto" w:fill="auto"/>
          </w:tcPr>
          <w:p w:rsidR="00990896" w:rsidRPr="00F63738" w:rsidRDefault="0099089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39" w:type="dxa"/>
            <w:shd w:val="clear" w:color="auto" w:fill="auto"/>
          </w:tcPr>
          <w:p w:rsidR="00990896" w:rsidRPr="00F63738" w:rsidRDefault="0099089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90896" w:rsidRPr="00F63738" w:rsidRDefault="005C76F5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90896" w:rsidRPr="00F63738" w:rsidRDefault="005C76F5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83" w:type="dxa"/>
          </w:tcPr>
          <w:p w:rsidR="00990896" w:rsidRPr="00F63738" w:rsidRDefault="005C76F5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990896" w:rsidRPr="00F63738" w:rsidTr="00990896">
        <w:tc>
          <w:tcPr>
            <w:tcW w:w="1701" w:type="dxa"/>
            <w:shd w:val="clear" w:color="auto" w:fill="auto"/>
          </w:tcPr>
          <w:p w:rsidR="00990896" w:rsidRPr="00F63738" w:rsidRDefault="001E6004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Electronic version of the collection</w:t>
            </w:r>
          </w:p>
        </w:tc>
        <w:tc>
          <w:tcPr>
            <w:tcW w:w="993" w:type="dxa"/>
            <w:shd w:val="clear" w:color="auto" w:fill="auto"/>
          </w:tcPr>
          <w:p w:rsidR="00990896" w:rsidRPr="00F63738" w:rsidRDefault="0099089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4" w:type="dxa"/>
            <w:shd w:val="clear" w:color="auto" w:fill="auto"/>
          </w:tcPr>
          <w:p w:rsidR="00990896" w:rsidRPr="00F63738" w:rsidRDefault="0099089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1042" w:type="dxa"/>
            <w:shd w:val="clear" w:color="auto" w:fill="auto"/>
          </w:tcPr>
          <w:p w:rsidR="00990896" w:rsidRPr="00F63738" w:rsidRDefault="0099089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17061</w:t>
            </w:r>
          </w:p>
        </w:tc>
        <w:tc>
          <w:tcPr>
            <w:tcW w:w="1041" w:type="dxa"/>
            <w:shd w:val="clear" w:color="auto" w:fill="auto"/>
          </w:tcPr>
          <w:p w:rsidR="00990896" w:rsidRPr="00F63738" w:rsidRDefault="0099089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39" w:type="dxa"/>
            <w:shd w:val="clear" w:color="auto" w:fill="auto"/>
          </w:tcPr>
          <w:p w:rsidR="00990896" w:rsidRPr="00F63738" w:rsidRDefault="0099089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992" w:type="dxa"/>
          </w:tcPr>
          <w:p w:rsidR="00990896" w:rsidRPr="00F63738" w:rsidRDefault="005C76F5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90896" w:rsidRPr="00F63738" w:rsidRDefault="005C76F5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83" w:type="dxa"/>
          </w:tcPr>
          <w:p w:rsidR="00990896" w:rsidRPr="00F63738" w:rsidRDefault="005C76F5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140</w:t>
            </w:r>
          </w:p>
        </w:tc>
      </w:tr>
    </w:tbl>
    <w:p w:rsidR="00B54275" w:rsidRPr="00F63738" w:rsidRDefault="00B54275" w:rsidP="00F6373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0608B0" w:rsidRPr="00F63738" w:rsidRDefault="000608B0" w:rsidP="00F6373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0608B0" w:rsidRPr="00F63738" w:rsidRDefault="000608B0" w:rsidP="00F6373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0608B0" w:rsidRPr="00F63738" w:rsidRDefault="000608B0" w:rsidP="00F6373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0608B0" w:rsidRPr="00F63738" w:rsidRDefault="000608B0" w:rsidP="00F6373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0608B0" w:rsidRPr="00F63738" w:rsidRDefault="000608B0" w:rsidP="00F6373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0608B0" w:rsidRPr="00F63738" w:rsidRDefault="000608B0" w:rsidP="00F63738">
      <w:pPr>
        <w:spacing w:line="240" w:lineRule="auto"/>
        <w:rPr>
          <w:sz w:val="20"/>
          <w:szCs w:val="20"/>
        </w:rPr>
      </w:pPr>
      <w:r w:rsidRPr="00F63738">
        <w:rPr>
          <w:noProof/>
          <w:sz w:val="20"/>
          <w:szCs w:val="20"/>
          <w:lang w:eastAsia="ru-RU"/>
        </w:rPr>
        <w:drawing>
          <wp:inline distT="0" distB="0" distL="0" distR="0" wp14:anchorId="4DACD041" wp14:editId="79BE347D">
            <wp:extent cx="5940425" cy="89546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0" w:rsidRPr="00F63738" w:rsidRDefault="000608B0" w:rsidP="00F6373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3738">
        <w:rPr>
          <w:rFonts w:ascii="Times New Roman" w:hAnsi="Times New Roman" w:cs="Times New Roman"/>
          <w:b/>
          <w:bCs/>
          <w:color w:val="17365D"/>
          <w:sz w:val="20"/>
          <w:szCs w:val="20"/>
          <w:lang w:val="en-US"/>
        </w:rPr>
        <w:t>INTERNATIONAL INNOVATIVE CENTER</w:t>
      </w:r>
    </w:p>
    <w:p w:rsidR="000608B0" w:rsidRPr="00F63738" w:rsidRDefault="000608B0" w:rsidP="00F63738">
      <w:pPr>
        <w:spacing w:line="240" w:lineRule="auto"/>
        <w:jc w:val="center"/>
        <w:rPr>
          <w:rFonts w:ascii="Times New Roman" w:eastAsia="Calibri" w:hAnsi="Times New Roman" w:cs="Times New Roman"/>
          <w:b/>
          <w:color w:val="17365D"/>
          <w:sz w:val="20"/>
          <w:szCs w:val="20"/>
        </w:rPr>
      </w:pPr>
      <w:r w:rsidRPr="00F63738">
        <w:rPr>
          <w:rFonts w:ascii="Times New Roman" w:eastAsia="Calibri" w:hAnsi="Times New Roman" w:cs="Times New Roman"/>
          <w:b/>
          <w:color w:val="17365D"/>
          <w:sz w:val="20"/>
          <w:szCs w:val="20"/>
        </w:rPr>
        <w:t xml:space="preserve"> «</w:t>
      </w:r>
      <w:r w:rsidRPr="00F63738">
        <w:rPr>
          <w:rFonts w:ascii="Times New Roman" w:eastAsia="Calibri" w:hAnsi="Times New Roman" w:cs="Times New Roman"/>
          <w:b/>
          <w:color w:val="17365D"/>
          <w:sz w:val="20"/>
          <w:szCs w:val="20"/>
          <w:lang w:val="en-US"/>
        </w:rPr>
        <w:t>PERSPEKTIVAPLUS</w:t>
      </w:r>
      <w:r w:rsidRPr="00F63738">
        <w:rPr>
          <w:rFonts w:ascii="Times New Roman" w:eastAsia="Calibri" w:hAnsi="Times New Roman" w:cs="Times New Roman"/>
          <w:b/>
          <w:color w:val="17365D"/>
          <w:sz w:val="20"/>
          <w:szCs w:val="20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5"/>
        <w:gridCol w:w="3506"/>
      </w:tblGrid>
      <w:tr w:rsidR="000608B0" w:rsidRPr="00F63738" w:rsidTr="00250D07">
        <w:tc>
          <w:tcPr>
            <w:tcW w:w="6065" w:type="dxa"/>
            <w:shd w:val="clear" w:color="auto" w:fill="auto"/>
          </w:tcPr>
          <w:p w:rsidR="000608B0" w:rsidRPr="00F63738" w:rsidRDefault="000608B0" w:rsidP="00F6373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3738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14550" cy="1085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shd w:val="clear" w:color="auto" w:fill="auto"/>
          </w:tcPr>
          <w:p w:rsidR="000608B0" w:rsidRPr="00F63738" w:rsidRDefault="000608B0" w:rsidP="00F63738">
            <w:pPr>
              <w:spacing w:after="0" w:line="240" w:lineRule="auto"/>
              <w:rPr>
                <w:rFonts w:ascii="Helvetica" w:eastAsia="Calibri" w:hAnsi="Helvetica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F63738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Site</w:t>
            </w:r>
            <w:r w:rsidRPr="00F63738"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  <w:hyperlink r:id="rId12" w:history="1"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proofErr w:type="spellStart"/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perspektiva</w:t>
              </w:r>
              <w:proofErr w:type="spellEnd"/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plus</w:t>
              </w:r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pro</w:t>
              </w:r>
              <w:r w:rsidRPr="00F63738">
                <w:rPr>
                  <w:rFonts w:ascii="Helvetica" w:eastAsia="Calibri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</w:p>
          <w:p w:rsidR="000608B0" w:rsidRPr="00F63738" w:rsidRDefault="000608B0" w:rsidP="00F63738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0608B0" w:rsidRPr="00F63738" w:rsidRDefault="000608B0" w:rsidP="00F6373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63738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 xml:space="preserve">E-mail: </w:t>
            </w:r>
            <w:r w:rsidRPr="00F63738"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lang w:val="en-US"/>
              </w:rPr>
              <w:t>vesnaa777@gmail.com</w:t>
            </w:r>
          </w:p>
          <w:p w:rsidR="000608B0" w:rsidRPr="00F63738" w:rsidRDefault="000608B0" w:rsidP="00F6373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608B0" w:rsidRPr="00F63738" w:rsidRDefault="000608B0" w:rsidP="00F63738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63738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Masarykovatřída</w:t>
            </w:r>
            <w:proofErr w:type="spellEnd"/>
            <w:r w:rsidRPr="00F63738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 xml:space="preserve"> 668/29, Teplice, Czech Republic</w:t>
            </w:r>
          </w:p>
        </w:tc>
      </w:tr>
    </w:tbl>
    <w:p w:rsidR="00CD5826" w:rsidRPr="00F63738" w:rsidRDefault="00CD5826" w:rsidP="00F63738">
      <w:pPr>
        <w:tabs>
          <w:tab w:val="left" w:pos="1755"/>
        </w:tabs>
        <w:spacing w:line="240" w:lineRule="auto"/>
        <w:rPr>
          <w:sz w:val="20"/>
          <w:szCs w:val="20"/>
          <w:lang w:val="en-US"/>
        </w:rPr>
      </w:pPr>
    </w:p>
    <w:p w:rsidR="00CD5826" w:rsidRPr="00F63738" w:rsidRDefault="00CD5826" w:rsidP="00F637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Приглашаем принять участие в </w:t>
      </w: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III</w:t>
      </w:r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Международной научно-практической конференции ученых, учителей, аспирантов, студентов, практиков, </w:t>
      </w:r>
      <w:proofErr w:type="gramStart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воспитателей  детских</w:t>
      </w:r>
      <w:proofErr w:type="gramEnd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садов и детских домов.     </w:t>
      </w:r>
    </w:p>
    <w:p w:rsidR="00CD5826" w:rsidRPr="00F63738" w:rsidRDefault="00CD5826" w:rsidP="00F637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Название конференции: «Проблемы образования </w:t>
      </w:r>
      <w:proofErr w:type="gramStart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  науки</w:t>
      </w:r>
      <w:proofErr w:type="gramEnd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 современном мире»      </w:t>
      </w:r>
    </w:p>
    <w:p w:rsidR="00CD5826" w:rsidRPr="00F63738" w:rsidRDefault="00CD5826" w:rsidP="00F637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Цель конференции: обсуждение проблем образования в современном мире, положительного опыта разных стран в реформировании образовательных систем разных </w:t>
      </w:r>
      <w:proofErr w:type="gramStart"/>
      <w:r w:rsidRPr="00F63738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стран..</w:t>
      </w:r>
      <w:proofErr w:type="gramEnd"/>
    </w:p>
    <w:p w:rsidR="00CD5826" w:rsidRPr="00F63738" w:rsidRDefault="00CD5826" w:rsidP="00F637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 w:rsidRPr="00F6373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Языки: русский, английский, чешский, немецкий, французский, казахский, монгольский, белорусский, украинский, татарский языки и т. д.</w:t>
      </w:r>
    </w:p>
    <w:p w:rsidR="00CD5826" w:rsidRPr="00F63738" w:rsidRDefault="00CD5826" w:rsidP="00F637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Организационный комитет конференции</w:t>
      </w:r>
    </w:p>
    <w:p w:rsidR="00CD5826" w:rsidRPr="00F63738" w:rsidRDefault="00CD5826" w:rsidP="00F6373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eastAsia="ar-SA"/>
        </w:rPr>
        <w:t>Дугарджав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eastAsia="ar-SA"/>
        </w:rPr>
        <w:t>Лувсанцэрэнгийн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eastAsia="ar-SA"/>
        </w:rPr>
        <w:t>Баторского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филиала </w:t>
      </w:r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>«РЭУ им. Г. В. Плеханова».</w:t>
      </w:r>
    </w:p>
    <w:p w:rsidR="00CD5826" w:rsidRPr="00F63738" w:rsidRDefault="00CD5826" w:rsidP="00F6373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Тарасов Сергей Анатольевич, основатель и руководитель Открытой Европейской академии экономики и политики город Прага, доктор философии, специалист по международным </w:t>
      </w:r>
      <w:proofErr w:type="gramStart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отношениям,  управлением</w:t>
      </w:r>
      <w:proofErr w:type="gramEnd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персоналом и  экономики, руководитель проекта Европейской ассоциации преподавателей вузов город Гамбург.</w:t>
      </w:r>
    </w:p>
    <w:p w:rsidR="00CD5826" w:rsidRPr="00F63738" w:rsidRDefault="00CD5826" w:rsidP="00F6373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Максимова Ольга </w:t>
      </w: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>Пурбаевна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>, руководитель Русского центра при Улан-</w:t>
      </w: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Баторском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филиале «РЭУ им. Г. В. Плеханова».</w:t>
      </w:r>
    </w:p>
    <w:p w:rsidR="00CD5826" w:rsidRPr="00F63738" w:rsidRDefault="00CD5826" w:rsidP="00F6373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>Юрчук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Николаевна, </w:t>
      </w: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>, генеральный директор Международного центра «</w:t>
      </w: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Perspektiva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37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plus</w:t>
      </w:r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профессор РАЕ, психолог, писатель-публицист.</w:t>
      </w:r>
    </w:p>
    <w:p w:rsidR="00CD5826" w:rsidRPr="00F63738" w:rsidRDefault="00CD5826" w:rsidP="00F6373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Мамунова</w:t>
      </w:r>
      <w:proofErr w:type="spellEnd"/>
      <w:r w:rsidRPr="00F6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Матвеевна, кандидат педагогических наук, доцент.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Электронный адрес </w:t>
      </w:r>
      <w:proofErr w:type="gramStart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Оргкомитета:  </w:t>
      </w:r>
      <w:proofErr w:type="spellStart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vesna</w:t>
      </w:r>
      <w:proofErr w:type="spellEnd"/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</w:t>
      </w:r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777@</w:t>
      </w:r>
      <w:proofErr w:type="spellStart"/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gmail</w:t>
      </w:r>
      <w:proofErr w:type="spellEnd"/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6373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com</w:t>
      </w:r>
      <w:proofErr w:type="gramEnd"/>
    </w:p>
    <w:p w:rsidR="00CD5826" w:rsidRPr="00F63738" w:rsidRDefault="00CD5826" w:rsidP="00F63738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D5826" w:rsidRPr="00F63738" w:rsidRDefault="00CD5826" w:rsidP="00F63738">
      <w:pPr>
        <w:suppressAutoHyphens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3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Условия участия</w:t>
      </w:r>
    </w:p>
    <w:p w:rsidR="00CD5826" w:rsidRPr="00F63738" w:rsidRDefault="00CD5826" w:rsidP="00F63738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Конференция   проводится в заочной форме. Статьи можно опубликовать в Международном сборнике «Культура, просвещение, литература» (Чехия, Канада). </w:t>
      </w:r>
    </w:p>
    <w:p w:rsidR="00CD5826" w:rsidRPr="00F63738" w:rsidRDefault="00CD5826" w:rsidP="00F63738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направления конференции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1. Развитие современного мирового образовательного пространства.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2. Философия современного образования.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3. Общая педагогика.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4. Современные технологии в обучении и воспитании.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5. Современные информационные технологии в образовательном процессе.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6. Коррекционная педагогика.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7. Теория и методика обучения и воспитания.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СЕКЦИЯ 8.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Компетентностный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 в образовании.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9. Современные технологии в преподавании иностранных языков.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10. Теория и методика физического воспитания.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11. Современные образовательные технологии в ДОУ.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12. Современные образовательные технологии в начальной школе.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13. Современные образовательные технологии в средней школе.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СЕКЦИЯ 14. Региональные образовательные традиции в современной школе.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15. Современные образовательные технологии в системе СПО.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16. Современные образовательные технологии в вузе.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17. Современные образовательные технологии в дополнительном образовании.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18. Роль педагога в современном обществе.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19. Управление системой высшего образования в условиях модернизации. 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СЕКЦИЯ 20. Интеграционные процессы в образовательной среде.</w:t>
      </w:r>
    </w:p>
    <w:p w:rsidR="00CD5826" w:rsidRPr="00F63738" w:rsidRDefault="00CD5826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ОФОРМЛЕНИЮ МАТЕРИАЛОВ</w:t>
      </w:r>
    </w:p>
    <w:p w:rsidR="00CD5826" w:rsidRPr="00F63738" w:rsidRDefault="00CD5826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Формат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текста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Word for Windows. 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Формат страницы: А4 (210x297 мм). Поля: 2,5 см – со всех сторон. Шрифт: размер (кегль) – 14; тип –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Times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New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Roman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Название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печатается прописными буквами, шрифт – жирный, выравнивание по центру. Ниже через двойной интервал строчными буквами – </w:t>
      </w: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инициалы и фамилия автора(</w:t>
      </w:r>
      <w:proofErr w:type="spellStart"/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</w:t>
      </w:r>
      <w:proofErr w:type="spellEnd"/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 следующей строке – </w:t>
      </w: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полное название организации, город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После отступа в 2 интервала следует </w:t>
      </w: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аннотация, ключевые слова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 которыми через 2 интервала – текст, </w:t>
      </w: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печатаемый через одинарный интервал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Equation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MathType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</w:t>
      </w:r>
      <w:proofErr w:type="spellEnd"/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Ссылки на литературу </w:t>
      </w: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квадратных скобках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Наличие списка литературы обязательно. Переносы не ставить.</w:t>
      </w:r>
    </w:p>
    <w:p w:rsidR="00CD5826" w:rsidRPr="00F63738" w:rsidRDefault="00CD5826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Максимальное количество страниц – 10. Оплачиваете только сборник: электронный или печатный!!!</w:t>
      </w:r>
    </w:p>
    <w:p w:rsidR="00CD5826" w:rsidRPr="00F63738" w:rsidRDefault="00CD5826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электронном варианте каждая статья должна быть в отдельном файле. В имени файла укажите шифр (СТ-11), номер секции и фамилию первого автора (например, СТ-11 Секция 9 Петров).</w:t>
      </w:r>
    </w:p>
    <w:p w:rsidR="00CD5826" w:rsidRPr="00F63738" w:rsidRDefault="00CD5826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авторах требуется </w:t>
      </w: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оформить в табличной форме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имени файла со сведениями об авторе укажите шифр конференции и фамилию первого автора (например, СТ-11 Петров).</w:t>
      </w:r>
    </w:p>
    <w:p w:rsidR="00CD5826" w:rsidRPr="00F63738" w:rsidRDefault="00CD5826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ОБ АВТОРЕ</w:t>
      </w:r>
    </w:p>
    <w:tbl>
      <w:tblPr>
        <w:tblW w:w="0" w:type="auto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0"/>
        <w:gridCol w:w="2295"/>
      </w:tblGrid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автора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работы/учёбы (ВУЗ, ССУЗ или др. организация)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СТ-11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экземпляр сборника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печатный экземпляр сборника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на который высылать сборник и/или сертификат (с указанием индекса и фамилии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 дата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826" w:rsidRPr="00F63738" w:rsidTr="0025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Источник, из которого Вы узнали о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26" w:rsidRPr="00F63738" w:rsidRDefault="00CD5826" w:rsidP="00F6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826" w:rsidRPr="00F63738" w:rsidRDefault="00CD5826" w:rsidP="00F63738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Материалы, сведения об авторах и отсканированные квитанции об оплате (в разных файлах) необходимо отправить в одном письме по адресу</w:t>
      </w:r>
      <w:r w:rsidRPr="00F637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 </w:t>
      </w:r>
      <w:proofErr w:type="spellStart"/>
      <w:r w:rsidRPr="00F637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en-US" w:eastAsia="ru-RU"/>
        </w:rPr>
        <w:t>vesna</w:t>
      </w:r>
      <w:proofErr w:type="spellEnd"/>
      <w:r w:rsidRPr="00F637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а777@</w:t>
      </w:r>
      <w:proofErr w:type="spellStart"/>
      <w:r w:rsidRPr="00F637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en-US" w:eastAsia="ru-RU"/>
        </w:rPr>
        <w:t>gmail</w:t>
      </w:r>
      <w:proofErr w:type="spellEnd"/>
      <w:r w:rsidRPr="00F637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.</w:t>
      </w:r>
      <w:r w:rsidRPr="00F637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en-US" w:eastAsia="ru-RU"/>
        </w:rPr>
        <w:t>com</w:t>
      </w:r>
      <w:r w:rsidRPr="00F637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 до 10 </w:t>
      </w:r>
      <w:r w:rsidR="009D0EA1" w:rsidRPr="00F637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ноября</w:t>
      </w:r>
      <w:r w:rsidRPr="00F637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 2018 года. </w:t>
      </w:r>
      <w:r w:rsidRPr="00F63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Контактное лицо – </w:t>
      </w:r>
      <w:proofErr w:type="spellStart"/>
      <w:proofErr w:type="gramStart"/>
      <w:r w:rsidRPr="00F637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Юрчук</w:t>
      </w:r>
      <w:proofErr w:type="spellEnd"/>
      <w:r w:rsidRPr="00F637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Светлана</w:t>
      </w:r>
      <w:proofErr w:type="gramEnd"/>
      <w:r w:rsidRPr="00F637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Николаевна.</w:t>
      </w:r>
    </w:p>
    <w:p w:rsidR="00CD5826" w:rsidRPr="00F63738" w:rsidRDefault="00CD5826" w:rsidP="00F63738">
      <w:pPr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F63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просьба продублировать заявку</w:t>
      </w:r>
      <w:r w:rsidRPr="00F63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F637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окончании конференции участники получают сертификаты участников и сертификаты публикации!</w:t>
      </w:r>
    </w:p>
    <w:p w:rsidR="00CD5826" w:rsidRPr="00F63738" w:rsidRDefault="00CD5826" w:rsidP="00F6373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637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Приложение 1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CD5826" w:rsidRPr="00F63738" w:rsidRDefault="00CD5826" w:rsidP="00F63738">
      <w:pPr>
        <w:spacing w:line="240" w:lineRule="auto"/>
        <w:ind w:left="260" w:righ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637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proofErr w:type="spellStart"/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Visa</w:t>
      </w:r>
      <w:proofErr w:type="spellEnd"/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Qiwi</w:t>
      </w:r>
      <w:proofErr w:type="spellEnd"/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637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Wallet</w:t>
      </w:r>
      <w:proofErr w:type="spellEnd"/>
      <w:r w:rsidRPr="00F63738">
        <w:rPr>
          <w:rFonts w:ascii="Times New Roman" w:eastAsia="Times New Roman" w:hAnsi="Times New Roman" w:cs="Times New Roman"/>
          <w:b/>
          <w:bCs/>
          <w:color w:val="0D0D0D"/>
          <w:sz w:val="20"/>
          <w:szCs w:val="20"/>
          <w:lang w:eastAsia="ru-RU"/>
        </w:rPr>
        <w:t>.</w:t>
      </w: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63738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339FE81B" wp14:editId="189827A8">
            <wp:simplePos x="0" y="0"/>
            <wp:positionH relativeFrom="column">
              <wp:posOffset>165735</wp:posOffset>
            </wp:positionH>
            <wp:positionV relativeFrom="paragraph">
              <wp:posOffset>346075</wp:posOffset>
            </wp:positionV>
            <wp:extent cx="4787900" cy="1009015"/>
            <wp:effectExtent l="0" t="0" r="0" b="0"/>
            <wp:wrapNone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CD5826" w:rsidRPr="00F63738" w:rsidTr="00250D07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Номера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счетов</w:t>
            </w:r>
            <w:proofErr w:type="spellEnd"/>
          </w:p>
        </w:tc>
      </w:tr>
      <w:tr w:rsidR="00CD5826" w:rsidRPr="00F63738" w:rsidTr="00250D07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Яндекс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410014676251568</w:t>
            </w:r>
          </w:p>
        </w:tc>
      </w:tr>
      <w:tr w:rsidR="00CD5826" w:rsidRPr="00F63738" w:rsidTr="00250D07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Яндекс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410015857412468</w:t>
            </w:r>
          </w:p>
        </w:tc>
      </w:tr>
      <w:tr w:rsidR="00CD5826" w:rsidRPr="00F63738" w:rsidTr="00250D07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Visa </w:t>
            </w: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Qiwi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+796</w:t>
            </w: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17956392</w:t>
            </w:r>
          </w:p>
        </w:tc>
      </w:tr>
      <w:tr w:rsidR="00CD5826" w:rsidRPr="00F63738" w:rsidTr="00250D0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Карта Сбербанка (</w:t>
            </w:r>
            <w:proofErr w:type="spellStart"/>
            <w:r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n-US"/>
              </w:rPr>
              <w:t>Viza</w:t>
            </w:r>
            <w:proofErr w:type="spellEnd"/>
            <w:r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4276 3801 7255 7055</w:t>
            </w:r>
          </w:p>
        </w:tc>
      </w:tr>
      <w:tr w:rsidR="00CD5826" w:rsidRPr="00F63738" w:rsidTr="00250D0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Карта Яндекс Деньги </w:t>
            </w:r>
            <w:r w:rsidRPr="00F63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val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826" w:rsidRPr="00F63738" w:rsidRDefault="00CD5826" w:rsidP="00F6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6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5106 2180 3190 4857</w:t>
            </w:r>
          </w:p>
        </w:tc>
      </w:tr>
    </w:tbl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CD5826" w:rsidRPr="00F63738"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  <w:bookmarkStart w:id="0" w:name="_GoBack"/>
      <w:bookmarkEnd w:id="0"/>
    </w:p>
    <w:p w:rsidR="00CD5826" w:rsidRPr="00F63738" w:rsidRDefault="00CD5826" w:rsidP="00F637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>Western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>Union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>ПриватБанке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>*В сообщении указать ФИО участников.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6373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Реквизиты для банковского перевода 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Для платежей из-за границы: 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IBAN: CZ6827000000001002100915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SWIFT: BACX CZ PP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Название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банка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: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UniCredit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Bank Czech Republic and Slovakia,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a.s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Юридический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адрес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банка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: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Želetavská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1525/1, Praha 4, 140 92, Czech Republic.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Владелец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счета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: Broker's First Company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s.r.o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Юридический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адрес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владельца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счета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: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Praha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3, V </w:t>
      </w:r>
      <w:proofErr w:type="spellStart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Zahradkach</w:t>
      </w:r>
      <w:proofErr w:type="spellEnd"/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2854/9, 13000, Czech Republic.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>Комментарий к платежу: Ваша фамилия, имя, дата рождения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>Валюта счета: Чешская крона (</w:t>
      </w:r>
      <w:r w:rsidRPr="00F6373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CZK</w:t>
      </w:r>
      <w:r w:rsidRPr="00F63738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7365D"/>
          <w:sz w:val="20"/>
          <w:szCs w:val="20"/>
          <w:lang w:val="en-US"/>
        </w:rPr>
      </w:pPr>
      <w:r w:rsidRPr="00F63738">
        <w:rPr>
          <w:rFonts w:ascii="Times New Roman" w:eastAsia="Calibri" w:hAnsi="Times New Roman" w:cs="Times New Roman"/>
          <w:b/>
          <w:bCs/>
          <w:color w:val="17365D"/>
          <w:sz w:val="20"/>
          <w:szCs w:val="20"/>
        </w:rPr>
        <w:t>Финансовые условия</w:t>
      </w:r>
    </w:p>
    <w:p w:rsidR="00CD5826" w:rsidRPr="00F63738" w:rsidRDefault="00CD5826" w:rsidP="00F6373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-BoldMT"/>
          <w:b/>
          <w:bCs/>
          <w:color w:val="17365D"/>
          <w:sz w:val="20"/>
          <w:szCs w:val="20"/>
          <w:lang w:val="en-US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214"/>
        <w:gridCol w:w="1042"/>
        <w:gridCol w:w="1041"/>
        <w:gridCol w:w="1239"/>
        <w:gridCol w:w="992"/>
        <w:gridCol w:w="850"/>
        <w:gridCol w:w="1083"/>
      </w:tblGrid>
      <w:tr w:rsidR="00CD5826" w:rsidRPr="00F63738" w:rsidTr="00250D07">
        <w:tc>
          <w:tcPr>
            <w:tcW w:w="1701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Форма участия</w:t>
            </w:r>
          </w:p>
        </w:tc>
        <w:tc>
          <w:tcPr>
            <w:tcW w:w="8454" w:type="dxa"/>
            <w:gridSpan w:val="8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Размер организационного взноса</w:t>
            </w:r>
          </w:p>
        </w:tc>
      </w:tr>
      <w:tr w:rsidR="00CD5826" w:rsidRPr="00F63738" w:rsidTr="00250D07">
        <w:tc>
          <w:tcPr>
            <w:tcW w:w="1701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Российские рубли</w:t>
            </w:r>
          </w:p>
        </w:tc>
        <w:tc>
          <w:tcPr>
            <w:tcW w:w="1214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Казахские тенге</w:t>
            </w:r>
          </w:p>
        </w:tc>
        <w:tc>
          <w:tcPr>
            <w:tcW w:w="1042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Монгольские</w:t>
            </w:r>
          </w:p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тугрики</w:t>
            </w:r>
          </w:p>
        </w:tc>
        <w:tc>
          <w:tcPr>
            <w:tcW w:w="1041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Украинская гривна</w:t>
            </w:r>
          </w:p>
        </w:tc>
        <w:tc>
          <w:tcPr>
            <w:tcW w:w="1239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Белорусские рубли</w:t>
            </w:r>
          </w:p>
        </w:tc>
        <w:tc>
          <w:tcPr>
            <w:tcW w:w="992" w:type="dxa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Доллары</w:t>
            </w:r>
          </w:p>
        </w:tc>
        <w:tc>
          <w:tcPr>
            <w:tcW w:w="850" w:type="dxa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1083" w:type="dxa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Чешские кроны</w:t>
            </w:r>
          </w:p>
        </w:tc>
      </w:tr>
      <w:tr w:rsidR="00CD5826" w:rsidRPr="00F63738" w:rsidTr="00250D07">
        <w:tc>
          <w:tcPr>
            <w:tcW w:w="1701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3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Участие в конференции</w:t>
            </w:r>
          </w:p>
        </w:tc>
        <w:tc>
          <w:tcPr>
            <w:tcW w:w="993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214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42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041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39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83" w:type="dxa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CD5826" w:rsidRPr="00F63738" w:rsidTr="00250D07">
        <w:tc>
          <w:tcPr>
            <w:tcW w:w="1701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Электронный вариант сборника</w:t>
            </w:r>
          </w:p>
        </w:tc>
        <w:tc>
          <w:tcPr>
            <w:tcW w:w="993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4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1042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17061</w:t>
            </w:r>
          </w:p>
        </w:tc>
        <w:tc>
          <w:tcPr>
            <w:tcW w:w="1041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39" w:type="dxa"/>
            <w:shd w:val="clear" w:color="auto" w:fill="auto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992" w:type="dxa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83" w:type="dxa"/>
          </w:tcPr>
          <w:p w:rsidR="00CD5826" w:rsidRPr="00F63738" w:rsidRDefault="00CD5826" w:rsidP="00F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373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140</w:t>
            </w:r>
          </w:p>
        </w:tc>
      </w:tr>
    </w:tbl>
    <w:p w:rsidR="00CD5826" w:rsidRPr="00F63738" w:rsidRDefault="00CD5826" w:rsidP="00F6373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CD5826" w:rsidRPr="00F63738" w:rsidRDefault="00CD5826" w:rsidP="00F63738">
      <w:pPr>
        <w:tabs>
          <w:tab w:val="left" w:pos="1755"/>
        </w:tabs>
        <w:spacing w:line="240" w:lineRule="auto"/>
        <w:rPr>
          <w:sz w:val="20"/>
          <w:szCs w:val="20"/>
          <w:lang w:val="en-US"/>
        </w:rPr>
      </w:pPr>
    </w:p>
    <w:p w:rsidR="00CD5826" w:rsidRPr="00F63738" w:rsidRDefault="00CD5826" w:rsidP="00F63738">
      <w:pPr>
        <w:tabs>
          <w:tab w:val="left" w:pos="1755"/>
        </w:tabs>
        <w:spacing w:line="240" w:lineRule="auto"/>
        <w:rPr>
          <w:sz w:val="20"/>
          <w:szCs w:val="20"/>
        </w:rPr>
      </w:pPr>
    </w:p>
    <w:sectPr w:rsidR="00CD5826" w:rsidRPr="00F63738" w:rsidSect="00F1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0E4E"/>
    <w:multiLevelType w:val="hybridMultilevel"/>
    <w:tmpl w:val="F08E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32DC3"/>
    <w:multiLevelType w:val="hybridMultilevel"/>
    <w:tmpl w:val="F08E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CC6"/>
    <w:rsid w:val="00023CC6"/>
    <w:rsid w:val="000608B0"/>
    <w:rsid w:val="000E217C"/>
    <w:rsid w:val="00134D46"/>
    <w:rsid w:val="001E6004"/>
    <w:rsid w:val="00274752"/>
    <w:rsid w:val="00285F2D"/>
    <w:rsid w:val="002C67C3"/>
    <w:rsid w:val="003A2321"/>
    <w:rsid w:val="005259FD"/>
    <w:rsid w:val="00553DB2"/>
    <w:rsid w:val="00566AF7"/>
    <w:rsid w:val="005C76F5"/>
    <w:rsid w:val="007D3564"/>
    <w:rsid w:val="007F5347"/>
    <w:rsid w:val="008540FF"/>
    <w:rsid w:val="0093187A"/>
    <w:rsid w:val="00990896"/>
    <w:rsid w:val="009D0EA1"/>
    <w:rsid w:val="00AC4AAF"/>
    <w:rsid w:val="00B04373"/>
    <w:rsid w:val="00B54275"/>
    <w:rsid w:val="00B97579"/>
    <w:rsid w:val="00BE33AE"/>
    <w:rsid w:val="00C453DF"/>
    <w:rsid w:val="00C543E0"/>
    <w:rsid w:val="00C701F2"/>
    <w:rsid w:val="00CD5826"/>
    <w:rsid w:val="00D22AA6"/>
    <w:rsid w:val="00D54C33"/>
    <w:rsid w:val="00E21C35"/>
    <w:rsid w:val="00E86024"/>
    <w:rsid w:val="00F11491"/>
    <w:rsid w:val="00F33CCF"/>
    <w:rsid w:val="00F63738"/>
    <w:rsid w:val="00F85746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C3C0-054A-4AB6-B8C6-5472B39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7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86024"/>
    <w:rPr>
      <w:i/>
      <w:iCs/>
    </w:rPr>
  </w:style>
  <w:style w:type="character" w:styleId="a6">
    <w:name w:val="Hyperlink"/>
    <w:basedOn w:val="a0"/>
    <w:uiPriority w:val="99"/>
    <w:unhideWhenUsed/>
    <w:rsid w:val="0085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-plus.p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erspektiva-plus.p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vesnaa77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A4F2-A126-43F2-9C0A-001EB91C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17</cp:revision>
  <cp:lastPrinted>2018-11-07T07:37:00Z</cp:lastPrinted>
  <dcterms:created xsi:type="dcterms:W3CDTF">2018-08-06T20:31:00Z</dcterms:created>
  <dcterms:modified xsi:type="dcterms:W3CDTF">2018-11-07T07:38:00Z</dcterms:modified>
</cp:coreProperties>
</file>